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Seuil d’assujetissement :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La Cagette est dans la catégorie 5 car elle est un local commercial “ouvert sur la rue” qui accueille simultanément : 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moins de 200 personnes au rez de chaussée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moins de 100 personnes à l’étage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Source :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https://www.service-public.fr/professionnels-entreprises/vosdroits/F32351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4787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78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Qu’est ce que ça veut dire pour nous ? 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rtl w:val="0"/>
        </w:rPr>
        <w:t xml:space="preserve"> ce titre, nous devons respecter tout un tas de règles d’accessibilité (PMR - Handicapés) / signalétiques / portes coupe feu / mesures de sécurité incendie (nombre d’extincteur, présence d’un plan d’évacuation incendie / présence d’au moins une personne ayant la formation incendie dans les locaux pendant les horaires d’ouvertures / présence d’un système d’alarme incendie / Présence d’une trousse de premier secours à jour).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Dans la pratique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il suffit de payer une boîte de sécurité incendie agréée, de suivre ses indications pour la mise aux normes + de faire former les salarié·e·s à la sécurité incendie.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80" w:before="280" w:line="360" w:lineRule="auto"/>
      <w:ind w:left="-420" w:right="-15" w:firstLine="0"/>
      <w:jc w:val="both"/>
    </w:pPr>
    <w:rPr>
      <w:b w:val="1"/>
      <w:color w:val="434343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rvice-public.fr/professionnels-entreprises/vosdroits/F32351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